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3ACFF8" w14:textId="77777777" w:rsidR="00BC6331" w:rsidRDefault="00BC6331" w:rsidP="00BC6331">
      <w:pPr>
        <w:spacing w:line="480" w:lineRule="auto"/>
        <w:jc w:val="center"/>
        <w:rPr>
          <w:rFonts w:ascii="Times New Roman" w:eastAsia="Calibri" w:hAnsi="Times New Roman" w:cs="Times New Roman"/>
          <w:sz w:val="24"/>
          <w:szCs w:val="24"/>
        </w:rPr>
      </w:pPr>
    </w:p>
    <w:p w14:paraId="2A49319D" w14:textId="77777777" w:rsidR="00BC6331" w:rsidRDefault="00BC6331" w:rsidP="00BC6331">
      <w:pPr>
        <w:spacing w:line="480" w:lineRule="auto"/>
        <w:jc w:val="center"/>
        <w:rPr>
          <w:rFonts w:ascii="Times New Roman" w:eastAsia="Calibri" w:hAnsi="Times New Roman" w:cs="Times New Roman"/>
          <w:sz w:val="24"/>
          <w:szCs w:val="24"/>
        </w:rPr>
      </w:pPr>
    </w:p>
    <w:p w14:paraId="550129AD" w14:textId="77777777" w:rsidR="00BC6331" w:rsidRDefault="00BC6331" w:rsidP="00BC6331">
      <w:pPr>
        <w:spacing w:line="480" w:lineRule="auto"/>
        <w:jc w:val="center"/>
        <w:rPr>
          <w:rFonts w:ascii="Times New Roman" w:eastAsia="Calibri" w:hAnsi="Times New Roman" w:cs="Times New Roman"/>
          <w:sz w:val="24"/>
          <w:szCs w:val="24"/>
        </w:rPr>
      </w:pPr>
    </w:p>
    <w:p w14:paraId="28A8C34A" w14:textId="77777777" w:rsidR="00BC6331" w:rsidRDefault="00BC6331" w:rsidP="00BC6331">
      <w:pPr>
        <w:spacing w:line="480" w:lineRule="auto"/>
        <w:jc w:val="center"/>
        <w:rPr>
          <w:rFonts w:ascii="Times New Roman" w:eastAsia="Calibri" w:hAnsi="Times New Roman" w:cs="Times New Roman"/>
          <w:sz w:val="24"/>
          <w:szCs w:val="24"/>
        </w:rPr>
      </w:pPr>
    </w:p>
    <w:p w14:paraId="6D58C7DF" w14:textId="77777777" w:rsidR="00BC6331" w:rsidRDefault="00BC6331" w:rsidP="00BC6331">
      <w:pPr>
        <w:spacing w:line="480" w:lineRule="auto"/>
        <w:jc w:val="center"/>
        <w:rPr>
          <w:rFonts w:ascii="Times New Roman" w:eastAsia="Calibri" w:hAnsi="Times New Roman" w:cs="Times New Roman"/>
          <w:sz w:val="24"/>
          <w:szCs w:val="24"/>
        </w:rPr>
      </w:pPr>
    </w:p>
    <w:p w14:paraId="01F895A0" w14:textId="77777777" w:rsidR="00BC6331" w:rsidRDefault="00BC6331" w:rsidP="00BC6331">
      <w:pPr>
        <w:spacing w:line="480" w:lineRule="auto"/>
        <w:jc w:val="center"/>
        <w:rPr>
          <w:rFonts w:ascii="Times New Roman" w:eastAsia="Calibri" w:hAnsi="Times New Roman" w:cs="Times New Roman"/>
          <w:sz w:val="24"/>
          <w:szCs w:val="24"/>
        </w:rPr>
      </w:pPr>
    </w:p>
    <w:p w14:paraId="3890C5E9" w14:textId="77777777" w:rsidR="00A51180" w:rsidRPr="00A51180" w:rsidRDefault="0020080F" w:rsidP="00BC6331">
      <w:pPr>
        <w:spacing w:line="480" w:lineRule="auto"/>
        <w:jc w:val="center"/>
        <w:rPr>
          <w:rFonts w:ascii="Times New Roman" w:hAnsi="Times New Roman" w:cs="Times New Roman"/>
          <w:b/>
          <w:bCs/>
          <w:sz w:val="24"/>
          <w:szCs w:val="24"/>
        </w:rPr>
      </w:pPr>
      <w:r w:rsidRPr="0064775F">
        <w:rPr>
          <w:rFonts w:ascii="Times New Roman" w:eastAsia="Calibri" w:hAnsi="Times New Roman" w:cs="Times New Roman"/>
          <w:b/>
          <w:bCs/>
          <w:sz w:val="24"/>
          <w:szCs w:val="24"/>
        </w:rPr>
        <w:t xml:space="preserve">Diversity </w:t>
      </w:r>
      <w:r>
        <w:rPr>
          <w:rFonts w:ascii="Times New Roman" w:eastAsia="Calibri" w:hAnsi="Times New Roman" w:cs="Times New Roman"/>
          <w:b/>
          <w:bCs/>
          <w:sz w:val="24"/>
          <w:szCs w:val="24"/>
        </w:rPr>
        <w:t>o</w:t>
      </w:r>
      <w:r w:rsidRPr="0064775F">
        <w:rPr>
          <w:rFonts w:ascii="Times New Roman" w:eastAsia="Calibri" w:hAnsi="Times New Roman" w:cs="Times New Roman"/>
          <w:b/>
          <w:bCs/>
          <w:sz w:val="24"/>
          <w:szCs w:val="24"/>
        </w:rPr>
        <w:t>f Today’s Suburban Areas</w:t>
      </w:r>
    </w:p>
    <w:p w14:paraId="25054AA0" w14:textId="77777777" w:rsidR="00A51180" w:rsidRPr="00A51180" w:rsidRDefault="0020080F" w:rsidP="00BC6331">
      <w:pPr>
        <w:spacing w:line="480" w:lineRule="auto"/>
        <w:jc w:val="center"/>
        <w:rPr>
          <w:rFonts w:ascii="Times New Roman" w:hAnsi="Times New Roman" w:cs="Times New Roman"/>
          <w:sz w:val="24"/>
          <w:szCs w:val="24"/>
        </w:rPr>
      </w:pPr>
      <w:r w:rsidRPr="00A51180">
        <w:rPr>
          <w:rFonts w:ascii="Times New Roman" w:hAnsi="Times New Roman" w:cs="Times New Roman"/>
          <w:sz w:val="24"/>
          <w:szCs w:val="24"/>
        </w:rPr>
        <w:t>Name</w:t>
      </w:r>
    </w:p>
    <w:p w14:paraId="570C9179" w14:textId="77777777" w:rsidR="00A51180" w:rsidRPr="00A51180" w:rsidRDefault="0020080F" w:rsidP="00BC6331">
      <w:pPr>
        <w:spacing w:line="480" w:lineRule="auto"/>
        <w:jc w:val="center"/>
        <w:rPr>
          <w:rFonts w:ascii="Times New Roman" w:hAnsi="Times New Roman" w:cs="Times New Roman"/>
          <w:sz w:val="24"/>
          <w:szCs w:val="24"/>
        </w:rPr>
      </w:pPr>
      <w:r w:rsidRPr="00A51180">
        <w:rPr>
          <w:rFonts w:ascii="Times New Roman" w:hAnsi="Times New Roman" w:cs="Times New Roman"/>
          <w:sz w:val="24"/>
          <w:szCs w:val="24"/>
        </w:rPr>
        <w:t>Institution affiliation</w:t>
      </w:r>
    </w:p>
    <w:p w14:paraId="1835B563" w14:textId="77777777" w:rsidR="00A51180" w:rsidRPr="00A51180" w:rsidRDefault="0020080F" w:rsidP="00BC6331">
      <w:pPr>
        <w:spacing w:line="480" w:lineRule="auto"/>
        <w:jc w:val="center"/>
        <w:rPr>
          <w:rFonts w:ascii="Times New Roman" w:hAnsi="Times New Roman" w:cs="Times New Roman"/>
          <w:sz w:val="24"/>
          <w:szCs w:val="24"/>
        </w:rPr>
      </w:pPr>
      <w:r w:rsidRPr="00A51180">
        <w:rPr>
          <w:rFonts w:ascii="Times New Roman" w:hAnsi="Times New Roman" w:cs="Times New Roman"/>
          <w:sz w:val="24"/>
          <w:szCs w:val="24"/>
        </w:rPr>
        <w:t>Course name</w:t>
      </w:r>
    </w:p>
    <w:p w14:paraId="5F7C560E" w14:textId="77777777" w:rsidR="00A51180" w:rsidRPr="00A51180" w:rsidRDefault="0020080F" w:rsidP="00BC6331">
      <w:pPr>
        <w:spacing w:line="480" w:lineRule="auto"/>
        <w:jc w:val="center"/>
        <w:rPr>
          <w:rFonts w:ascii="Times New Roman" w:hAnsi="Times New Roman" w:cs="Times New Roman"/>
          <w:sz w:val="24"/>
          <w:szCs w:val="24"/>
        </w:rPr>
      </w:pPr>
      <w:r w:rsidRPr="00A51180">
        <w:rPr>
          <w:rFonts w:ascii="Times New Roman" w:hAnsi="Times New Roman" w:cs="Times New Roman"/>
          <w:sz w:val="24"/>
          <w:szCs w:val="24"/>
        </w:rPr>
        <w:t>Instructor</w:t>
      </w:r>
    </w:p>
    <w:p w14:paraId="3FFE2EAD" w14:textId="77777777" w:rsidR="00A51180" w:rsidRDefault="0020080F" w:rsidP="00BC6331">
      <w:pPr>
        <w:spacing w:line="480" w:lineRule="auto"/>
        <w:jc w:val="center"/>
        <w:rPr>
          <w:rFonts w:ascii="Times New Roman" w:hAnsi="Times New Roman" w:cs="Times New Roman"/>
          <w:sz w:val="24"/>
          <w:szCs w:val="24"/>
        </w:rPr>
      </w:pPr>
      <w:r w:rsidRPr="00A51180">
        <w:rPr>
          <w:rFonts w:ascii="Times New Roman" w:hAnsi="Times New Roman" w:cs="Times New Roman"/>
          <w:sz w:val="24"/>
          <w:szCs w:val="24"/>
        </w:rPr>
        <w:t>Date</w:t>
      </w:r>
    </w:p>
    <w:p w14:paraId="155189A7" w14:textId="77777777" w:rsidR="00BC6331" w:rsidRDefault="00BC6331" w:rsidP="00BC6331">
      <w:pPr>
        <w:jc w:val="center"/>
        <w:rPr>
          <w:rFonts w:ascii="Times New Roman" w:hAnsi="Times New Roman" w:cs="Times New Roman"/>
          <w:sz w:val="24"/>
          <w:szCs w:val="24"/>
        </w:rPr>
      </w:pPr>
    </w:p>
    <w:p w14:paraId="741A873C" w14:textId="77777777" w:rsidR="00BC6331" w:rsidRDefault="00BC6331" w:rsidP="00BC6331">
      <w:pPr>
        <w:jc w:val="center"/>
        <w:rPr>
          <w:rFonts w:ascii="Times New Roman" w:hAnsi="Times New Roman" w:cs="Times New Roman"/>
          <w:sz w:val="24"/>
          <w:szCs w:val="24"/>
        </w:rPr>
      </w:pPr>
    </w:p>
    <w:p w14:paraId="38C2F226" w14:textId="77777777" w:rsidR="00BC6331" w:rsidRDefault="00BC6331" w:rsidP="00A51180">
      <w:pPr>
        <w:rPr>
          <w:rFonts w:ascii="Times New Roman" w:hAnsi="Times New Roman" w:cs="Times New Roman"/>
          <w:sz w:val="24"/>
          <w:szCs w:val="24"/>
        </w:rPr>
      </w:pPr>
    </w:p>
    <w:p w14:paraId="29D05E45" w14:textId="77777777" w:rsidR="00BC6331" w:rsidRDefault="00BC6331" w:rsidP="00A51180">
      <w:pPr>
        <w:rPr>
          <w:rFonts w:ascii="Times New Roman" w:hAnsi="Times New Roman" w:cs="Times New Roman"/>
          <w:sz w:val="24"/>
          <w:szCs w:val="24"/>
        </w:rPr>
      </w:pPr>
    </w:p>
    <w:p w14:paraId="39BD34F7" w14:textId="77777777" w:rsidR="00BC6331" w:rsidRDefault="00BC6331" w:rsidP="00A51180">
      <w:pPr>
        <w:rPr>
          <w:rFonts w:ascii="Times New Roman" w:hAnsi="Times New Roman" w:cs="Times New Roman"/>
          <w:sz w:val="24"/>
          <w:szCs w:val="24"/>
        </w:rPr>
      </w:pPr>
    </w:p>
    <w:p w14:paraId="2AA5AE8A" w14:textId="77777777" w:rsidR="00BC6331" w:rsidRDefault="00BC6331" w:rsidP="00A51180">
      <w:pPr>
        <w:rPr>
          <w:rFonts w:ascii="Times New Roman" w:hAnsi="Times New Roman" w:cs="Times New Roman"/>
          <w:sz w:val="24"/>
          <w:szCs w:val="24"/>
        </w:rPr>
      </w:pPr>
    </w:p>
    <w:p w14:paraId="3125B090" w14:textId="77777777" w:rsidR="00BC6331" w:rsidRDefault="00BC6331" w:rsidP="00A51180">
      <w:pPr>
        <w:rPr>
          <w:rFonts w:ascii="Times New Roman" w:hAnsi="Times New Roman" w:cs="Times New Roman"/>
          <w:sz w:val="24"/>
          <w:szCs w:val="24"/>
        </w:rPr>
      </w:pPr>
    </w:p>
    <w:p w14:paraId="0DF34248" w14:textId="77777777" w:rsidR="00BC6331" w:rsidRDefault="00BC6331" w:rsidP="00A51180">
      <w:pPr>
        <w:rPr>
          <w:rFonts w:ascii="Times New Roman" w:hAnsi="Times New Roman" w:cs="Times New Roman"/>
          <w:sz w:val="24"/>
          <w:szCs w:val="24"/>
        </w:rPr>
      </w:pPr>
    </w:p>
    <w:p w14:paraId="48427FF3" w14:textId="77777777" w:rsidR="00BC6331" w:rsidRDefault="00BC6331" w:rsidP="00A51180">
      <w:pPr>
        <w:rPr>
          <w:rFonts w:ascii="Times New Roman" w:hAnsi="Times New Roman" w:cs="Times New Roman"/>
          <w:sz w:val="24"/>
          <w:szCs w:val="24"/>
        </w:rPr>
      </w:pPr>
    </w:p>
    <w:p w14:paraId="3A33652B" w14:textId="77777777" w:rsidR="00BC6331" w:rsidRPr="00BC6331" w:rsidRDefault="00BC6331" w:rsidP="00A51180">
      <w:pPr>
        <w:rPr>
          <w:rFonts w:ascii="Times New Roman" w:hAnsi="Times New Roman" w:cs="Times New Roman"/>
          <w:sz w:val="24"/>
          <w:szCs w:val="24"/>
        </w:rPr>
      </w:pPr>
    </w:p>
    <w:p w14:paraId="60BCFEEE" w14:textId="77777777" w:rsidR="00A51180" w:rsidRPr="00BC6331" w:rsidRDefault="0020080F" w:rsidP="00CD495B">
      <w:pPr>
        <w:spacing w:line="480" w:lineRule="auto"/>
        <w:ind w:left="2160" w:firstLine="720"/>
        <w:rPr>
          <w:rFonts w:ascii="Times New Roman" w:hAnsi="Times New Roman" w:cs="Times New Roman"/>
          <w:b/>
          <w:bCs/>
          <w:sz w:val="24"/>
          <w:szCs w:val="24"/>
        </w:rPr>
      </w:pPr>
      <w:r w:rsidRPr="00BC6331">
        <w:rPr>
          <w:rFonts w:ascii="Times New Roman" w:eastAsia="Calibri" w:hAnsi="Times New Roman" w:cs="Times New Roman"/>
          <w:b/>
          <w:bCs/>
          <w:sz w:val="24"/>
          <w:szCs w:val="24"/>
        </w:rPr>
        <w:lastRenderedPageBreak/>
        <w:t xml:space="preserve">Diversity of Today’s Suburban Areas </w:t>
      </w:r>
    </w:p>
    <w:tbl>
      <w:tblPr>
        <w:tblStyle w:val="TableGrid"/>
        <w:tblW w:w="9895" w:type="dxa"/>
        <w:tblLook w:val="04A0" w:firstRow="1" w:lastRow="0" w:firstColumn="1" w:lastColumn="0" w:noHBand="0" w:noVBand="1"/>
      </w:tblPr>
      <w:tblGrid>
        <w:gridCol w:w="3823"/>
        <w:gridCol w:w="3126"/>
        <w:gridCol w:w="2946"/>
      </w:tblGrid>
      <w:tr w:rsidR="00A745F1" w14:paraId="58ADA836" w14:textId="77777777" w:rsidTr="00FE02A7">
        <w:tc>
          <w:tcPr>
            <w:tcW w:w="6385" w:type="dxa"/>
            <w:tcBorders>
              <w:top w:val="single" w:sz="4" w:space="0" w:color="auto"/>
              <w:left w:val="single" w:sz="4" w:space="0" w:color="auto"/>
              <w:bottom w:val="single" w:sz="4" w:space="0" w:color="auto"/>
              <w:right w:val="single" w:sz="4" w:space="0" w:color="auto"/>
            </w:tcBorders>
          </w:tcPr>
          <w:p w14:paraId="4D8CE845" w14:textId="77777777" w:rsidR="00A51180" w:rsidRPr="00A51180" w:rsidRDefault="00A51180" w:rsidP="00CD495B">
            <w:pPr>
              <w:spacing w:line="480" w:lineRule="auto"/>
              <w:rPr>
                <w:rFonts w:ascii="Times New Roman" w:eastAsia="Calibri"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hideMark/>
          </w:tcPr>
          <w:p w14:paraId="31B789EA" w14:textId="77777777" w:rsidR="00A51180" w:rsidRPr="00A51180" w:rsidRDefault="0020080F" w:rsidP="00CD495B">
            <w:pPr>
              <w:spacing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Plano</w:t>
            </w:r>
          </w:p>
        </w:tc>
        <w:tc>
          <w:tcPr>
            <w:tcW w:w="1800" w:type="dxa"/>
            <w:tcBorders>
              <w:top w:val="single" w:sz="4" w:space="0" w:color="auto"/>
              <w:left w:val="single" w:sz="4" w:space="0" w:color="auto"/>
              <w:bottom w:val="single" w:sz="4" w:space="0" w:color="auto"/>
              <w:right w:val="single" w:sz="4" w:space="0" w:color="auto"/>
            </w:tcBorders>
            <w:hideMark/>
          </w:tcPr>
          <w:p w14:paraId="6932B098" w14:textId="77777777" w:rsidR="00A51180" w:rsidRPr="00A51180" w:rsidRDefault="0020080F" w:rsidP="00CD495B">
            <w:pPr>
              <w:spacing w:line="48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Sugar land</w:t>
            </w:r>
          </w:p>
        </w:tc>
      </w:tr>
      <w:tr w:rsidR="00A745F1" w14:paraId="6CE8B9F6" w14:textId="77777777" w:rsidTr="00FE02A7">
        <w:tc>
          <w:tcPr>
            <w:tcW w:w="6385" w:type="dxa"/>
            <w:tcBorders>
              <w:top w:val="single" w:sz="4" w:space="0" w:color="auto"/>
              <w:left w:val="single" w:sz="4" w:space="0" w:color="auto"/>
              <w:bottom w:val="single" w:sz="4" w:space="0" w:color="auto"/>
              <w:right w:val="single" w:sz="4" w:space="0" w:color="auto"/>
            </w:tcBorders>
          </w:tcPr>
          <w:p w14:paraId="191AF629"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Population</w:t>
            </w:r>
          </w:p>
        </w:tc>
        <w:tc>
          <w:tcPr>
            <w:tcW w:w="1710" w:type="dxa"/>
            <w:tcBorders>
              <w:top w:val="single" w:sz="4" w:space="0" w:color="auto"/>
              <w:left w:val="single" w:sz="4" w:space="0" w:color="auto"/>
              <w:bottom w:val="single" w:sz="4" w:space="0" w:color="auto"/>
              <w:right w:val="single" w:sz="4" w:space="0" w:color="auto"/>
            </w:tcBorders>
          </w:tcPr>
          <w:p w14:paraId="3A6254DE" w14:textId="77777777" w:rsidR="00A51180"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287,677</w:t>
            </w:r>
          </w:p>
        </w:tc>
        <w:tc>
          <w:tcPr>
            <w:tcW w:w="1800" w:type="dxa"/>
            <w:tcBorders>
              <w:top w:val="single" w:sz="4" w:space="0" w:color="auto"/>
              <w:left w:val="single" w:sz="4" w:space="0" w:color="auto"/>
              <w:bottom w:val="single" w:sz="4" w:space="0" w:color="auto"/>
              <w:right w:val="single" w:sz="4" w:space="0" w:color="auto"/>
            </w:tcBorders>
          </w:tcPr>
          <w:p w14:paraId="695E978C" w14:textId="77777777" w:rsidR="00BC6331"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118,488</w:t>
            </w:r>
          </w:p>
        </w:tc>
      </w:tr>
      <w:tr w:rsidR="00A745F1" w14:paraId="3B367047" w14:textId="77777777" w:rsidTr="00FE02A7">
        <w:tc>
          <w:tcPr>
            <w:tcW w:w="6385" w:type="dxa"/>
            <w:tcBorders>
              <w:top w:val="single" w:sz="4" w:space="0" w:color="auto"/>
              <w:left w:val="single" w:sz="4" w:space="0" w:color="auto"/>
              <w:bottom w:val="single" w:sz="4" w:space="0" w:color="auto"/>
              <w:right w:val="single" w:sz="4" w:space="0" w:color="auto"/>
            </w:tcBorders>
          </w:tcPr>
          <w:p w14:paraId="373305FB"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Population percent change since 2010</w:t>
            </w:r>
          </w:p>
        </w:tc>
        <w:tc>
          <w:tcPr>
            <w:tcW w:w="1710" w:type="dxa"/>
            <w:tcBorders>
              <w:top w:val="single" w:sz="4" w:space="0" w:color="auto"/>
              <w:left w:val="single" w:sz="4" w:space="0" w:color="auto"/>
              <w:bottom w:val="single" w:sz="4" w:space="0" w:color="auto"/>
              <w:right w:val="single" w:sz="4" w:space="0" w:color="auto"/>
            </w:tcBorders>
          </w:tcPr>
          <w:p w14:paraId="3B795283" w14:textId="77777777" w:rsidR="00A51180"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1800" w:type="dxa"/>
            <w:tcBorders>
              <w:top w:val="single" w:sz="4" w:space="0" w:color="auto"/>
              <w:left w:val="single" w:sz="4" w:space="0" w:color="auto"/>
              <w:bottom w:val="single" w:sz="4" w:space="0" w:color="auto"/>
              <w:right w:val="single" w:sz="4" w:space="0" w:color="auto"/>
            </w:tcBorders>
          </w:tcPr>
          <w:p w14:paraId="385F4DBF" w14:textId="77777777" w:rsidR="00BC6331"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9.9%</w:t>
            </w:r>
          </w:p>
        </w:tc>
      </w:tr>
      <w:tr w:rsidR="00A745F1" w14:paraId="07A70676" w14:textId="77777777" w:rsidTr="00FE02A7">
        <w:tc>
          <w:tcPr>
            <w:tcW w:w="6385" w:type="dxa"/>
            <w:tcBorders>
              <w:top w:val="single" w:sz="4" w:space="0" w:color="auto"/>
              <w:left w:val="single" w:sz="4" w:space="0" w:color="auto"/>
              <w:bottom w:val="single" w:sz="4" w:space="0" w:color="auto"/>
              <w:right w:val="single" w:sz="4" w:space="0" w:color="auto"/>
            </w:tcBorders>
            <w:hideMark/>
          </w:tcPr>
          <w:p w14:paraId="327E301B"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 xml:space="preserve">Land area </w:t>
            </w:r>
            <w:r w:rsidRPr="00A51180">
              <w:rPr>
                <w:rFonts w:ascii="Times New Roman" w:eastAsia="Calibri" w:hAnsi="Times New Roman" w:cs="Times New Roman"/>
                <w:sz w:val="24"/>
                <w:szCs w:val="24"/>
              </w:rPr>
              <w:t>in square miles</w:t>
            </w:r>
          </w:p>
        </w:tc>
        <w:tc>
          <w:tcPr>
            <w:tcW w:w="1710" w:type="dxa"/>
            <w:tcBorders>
              <w:top w:val="single" w:sz="4" w:space="0" w:color="auto"/>
              <w:left w:val="single" w:sz="4" w:space="0" w:color="auto"/>
              <w:bottom w:val="single" w:sz="4" w:space="0" w:color="auto"/>
              <w:right w:val="single" w:sz="4" w:space="0" w:color="auto"/>
            </w:tcBorders>
          </w:tcPr>
          <w:p w14:paraId="2E084D42" w14:textId="77777777" w:rsidR="00A51180"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71.58</w:t>
            </w:r>
          </w:p>
        </w:tc>
        <w:tc>
          <w:tcPr>
            <w:tcW w:w="1800" w:type="dxa"/>
            <w:tcBorders>
              <w:top w:val="single" w:sz="4" w:space="0" w:color="auto"/>
              <w:left w:val="single" w:sz="4" w:space="0" w:color="auto"/>
              <w:bottom w:val="single" w:sz="4" w:space="0" w:color="auto"/>
              <w:right w:val="single" w:sz="4" w:space="0" w:color="auto"/>
            </w:tcBorders>
          </w:tcPr>
          <w:p w14:paraId="0F88A177" w14:textId="77777777" w:rsidR="00BC6331"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32.38</w:t>
            </w:r>
          </w:p>
        </w:tc>
      </w:tr>
      <w:tr w:rsidR="00A745F1" w14:paraId="5E643428" w14:textId="77777777" w:rsidTr="00FE02A7">
        <w:tc>
          <w:tcPr>
            <w:tcW w:w="6385" w:type="dxa"/>
            <w:tcBorders>
              <w:top w:val="single" w:sz="4" w:space="0" w:color="auto"/>
              <w:left w:val="single" w:sz="4" w:space="0" w:color="auto"/>
              <w:bottom w:val="single" w:sz="4" w:space="0" w:color="auto"/>
              <w:right w:val="single" w:sz="4" w:space="0" w:color="auto"/>
            </w:tcBorders>
            <w:hideMark/>
          </w:tcPr>
          <w:p w14:paraId="2DAF8122"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Population per square mile</w:t>
            </w:r>
          </w:p>
        </w:tc>
        <w:tc>
          <w:tcPr>
            <w:tcW w:w="1710" w:type="dxa"/>
            <w:tcBorders>
              <w:top w:val="single" w:sz="4" w:space="0" w:color="auto"/>
              <w:left w:val="single" w:sz="4" w:space="0" w:color="auto"/>
              <w:bottom w:val="single" w:sz="4" w:space="0" w:color="auto"/>
              <w:right w:val="single" w:sz="4" w:space="0" w:color="auto"/>
            </w:tcBorders>
          </w:tcPr>
          <w:p w14:paraId="40F9CBE5" w14:textId="77777777" w:rsidR="00A51180"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3630.0</w:t>
            </w:r>
          </w:p>
        </w:tc>
        <w:tc>
          <w:tcPr>
            <w:tcW w:w="1800" w:type="dxa"/>
            <w:tcBorders>
              <w:top w:val="single" w:sz="4" w:space="0" w:color="auto"/>
              <w:left w:val="single" w:sz="4" w:space="0" w:color="auto"/>
              <w:bottom w:val="single" w:sz="4" w:space="0" w:color="auto"/>
              <w:right w:val="single" w:sz="4" w:space="0" w:color="auto"/>
            </w:tcBorders>
          </w:tcPr>
          <w:p w14:paraId="4A0FE22A" w14:textId="77777777" w:rsidR="00BC6331"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2434.2</w:t>
            </w:r>
          </w:p>
        </w:tc>
      </w:tr>
      <w:tr w:rsidR="00A745F1" w14:paraId="05740D3D" w14:textId="77777777" w:rsidTr="00FE02A7">
        <w:tc>
          <w:tcPr>
            <w:tcW w:w="6385" w:type="dxa"/>
            <w:tcBorders>
              <w:top w:val="single" w:sz="4" w:space="0" w:color="auto"/>
              <w:left w:val="single" w:sz="4" w:space="0" w:color="auto"/>
              <w:bottom w:val="single" w:sz="4" w:space="0" w:color="auto"/>
              <w:right w:val="single" w:sz="4" w:space="0" w:color="auto"/>
            </w:tcBorders>
            <w:hideMark/>
          </w:tcPr>
          <w:p w14:paraId="4531C6A3"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Percent white alone, not Hispanic or Latino</w:t>
            </w:r>
          </w:p>
        </w:tc>
        <w:tc>
          <w:tcPr>
            <w:tcW w:w="1710" w:type="dxa"/>
            <w:tcBorders>
              <w:top w:val="single" w:sz="4" w:space="0" w:color="auto"/>
              <w:left w:val="single" w:sz="4" w:space="0" w:color="auto"/>
              <w:bottom w:val="single" w:sz="4" w:space="0" w:color="auto"/>
              <w:right w:val="single" w:sz="4" w:space="0" w:color="auto"/>
            </w:tcBorders>
          </w:tcPr>
          <w:p w14:paraId="219E2878" w14:textId="77777777" w:rsidR="00A51180"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52.4%</w:t>
            </w:r>
          </w:p>
        </w:tc>
        <w:tc>
          <w:tcPr>
            <w:tcW w:w="1800" w:type="dxa"/>
            <w:tcBorders>
              <w:top w:val="single" w:sz="4" w:space="0" w:color="auto"/>
              <w:left w:val="single" w:sz="4" w:space="0" w:color="auto"/>
              <w:bottom w:val="single" w:sz="4" w:space="0" w:color="auto"/>
              <w:right w:val="single" w:sz="4" w:space="0" w:color="auto"/>
            </w:tcBorders>
          </w:tcPr>
          <w:p w14:paraId="4B83417C" w14:textId="77777777" w:rsidR="00BC6331"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42.7%</w:t>
            </w:r>
          </w:p>
        </w:tc>
      </w:tr>
      <w:tr w:rsidR="00A745F1" w14:paraId="72097CA9" w14:textId="77777777" w:rsidTr="00FE02A7">
        <w:tc>
          <w:tcPr>
            <w:tcW w:w="6385" w:type="dxa"/>
            <w:tcBorders>
              <w:top w:val="single" w:sz="4" w:space="0" w:color="auto"/>
              <w:left w:val="single" w:sz="4" w:space="0" w:color="auto"/>
              <w:bottom w:val="single" w:sz="4" w:space="0" w:color="auto"/>
              <w:right w:val="single" w:sz="4" w:space="0" w:color="auto"/>
            </w:tcBorders>
          </w:tcPr>
          <w:p w14:paraId="502C92CF"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Percent aged 5+ whose language spoken at home is other than English</w:t>
            </w:r>
          </w:p>
        </w:tc>
        <w:tc>
          <w:tcPr>
            <w:tcW w:w="1710" w:type="dxa"/>
            <w:tcBorders>
              <w:top w:val="single" w:sz="4" w:space="0" w:color="auto"/>
              <w:left w:val="single" w:sz="4" w:space="0" w:color="auto"/>
              <w:bottom w:val="single" w:sz="4" w:space="0" w:color="auto"/>
              <w:right w:val="single" w:sz="4" w:space="0" w:color="auto"/>
            </w:tcBorders>
          </w:tcPr>
          <w:p w14:paraId="5908EB23" w14:textId="77777777" w:rsidR="00A51180"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35.3%</w:t>
            </w:r>
          </w:p>
        </w:tc>
        <w:tc>
          <w:tcPr>
            <w:tcW w:w="1800" w:type="dxa"/>
            <w:tcBorders>
              <w:top w:val="single" w:sz="4" w:space="0" w:color="auto"/>
              <w:left w:val="single" w:sz="4" w:space="0" w:color="auto"/>
              <w:bottom w:val="single" w:sz="4" w:space="0" w:color="auto"/>
              <w:right w:val="single" w:sz="4" w:space="0" w:color="auto"/>
            </w:tcBorders>
          </w:tcPr>
          <w:p w14:paraId="463172AF" w14:textId="77777777" w:rsidR="00BC6331"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43.0%</w:t>
            </w:r>
          </w:p>
        </w:tc>
      </w:tr>
      <w:tr w:rsidR="00A745F1" w14:paraId="1B83CE6C" w14:textId="77777777" w:rsidTr="00FE02A7">
        <w:tc>
          <w:tcPr>
            <w:tcW w:w="6385" w:type="dxa"/>
            <w:tcBorders>
              <w:top w:val="single" w:sz="4" w:space="0" w:color="auto"/>
              <w:left w:val="single" w:sz="4" w:space="0" w:color="auto"/>
              <w:bottom w:val="single" w:sz="4" w:space="0" w:color="auto"/>
              <w:right w:val="single" w:sz="4" w:space="0" w:color="auto"/>
            </w:tcBorders>
          </w:tcPr>
          <w:p w14:paraId="71005E78"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 xml:space="preserve">Percent households with broadband </w:t>
            </w:r>
            <w:r w:rsidRPr="00A51180">
              <w:rPr>
                <w:rFonts w:ascii="Times New Roman" w:eastAsia="Calibri" w:hAnsi="Times New Roman" w:cs="Times New Roman"/>
                <w:sz w:val="24"/>
                <w:szCs w:val="24"/>
              </w:rPr>
              <w:t>internet subscription</w:t>
            </w:r>
          </w:p>
        </w:tc>
        <w:tc>
          <w:tcPr>
            <w:tcW w:w="1710" w:type="dxa"/>
            <w:tcBorders>
              <w:top w:val="single" w:sz="4" w:space="0" w:color="auto"/>
              <w:left w:val="single" w:sz="4" w:space="0" w:color="auto"/>
              <w:bottom w:val="single" w:sz="4" w:space="0" w:color="auto"/>
              <w:right w:val="single" w:sz="4" w:space="0" w:color="auto"/>
            </w:tcBorders>
          </w:tcPr>
          <w:p w14:paraId="36352432" w14:textId="77777777" w:rsidR="00A51180"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93.9%</w:t>
            </w:r>
          </w:p>
        </w:tc>
        <w:tc>
          <w:tcPr>
            <w:tcW w:w="1800" w:type="dxa"/>
            <w:tcBorders>
              <w:top w:val="single" w:sz="4" w:space="0" w:color="auto"/>
              <w:left w:val="single" w:sz="4" w:space="0" w:color="auto"/>
              <w:bottom w:val="single" w:sz="4" w:space="0" w:color="auto"/>
              <w:right w:val="single" w:sz="4" w:space="0" w:color="auto"/>
            </w:tcBorders>
          </w:tcPr>
          <w:p w14:paraId="2FBA5CB8" w14:textId="77777777" w:rsidR="00BC6331"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94.7%</w:t>
            </w:r>
          </w:p>
        </w:tc>
      </w:tr>
      <w:tr w:rsidR="00A745F1" w14:paraId="6C735D04" w14:textId="77777777" w:rsidTr="00FE02A7">
        <w:tc>
          <w:tcPr>
            <w:tcW w:w="6385" w:type="dxa"/>
            <w:tcBorders>
              <w:top w:val="single" w:sz="4" w:space="0" w:color="auto"/>
              <w:left w:val="single" w:sz="4" w:space="0" w:color="auto"/>
              <w:bottom w:val="single" w:sz="4" w:space="0" w:color="auto"/>
              <w:right w:val="single" w:sz="4" w:space="0" w:color="auto"/>
            </w:tcBorders>
          </w:tcPr>
          <w:p w14:paraId="2A92B4F7"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Median age</w:t>
            </w:r>
          </w:p>
        </w:tc>
        <w:tc>
          <w:tcPr>
            <w:tcW w:w="1710" w:type="dxa"/>
            <w:tcBorders>
              <w:top w:val="single" w:sz="4" w:space="0" w:color="auto"/>
              <w:left w:val="single" w:sz="4" w:space="0" w:color="auto"/>
              <w:bottom w:val="single" w:sz="4" w:space="0" w:color="auto"/>
              <w:right w:val="single" w:sz="4" w:space="0" w:color="auto"/>
            </w:tcBorders>
          </w:tcPr>
          <w:p w14:paraId="59353641" w14:textId="77777777" w:rsidR="00A51180" w:rsidRPr="00A51180" w:rsidRDefault="00A51180" w:rsidP="00CD495B">
            <w:pPr>
              <w:spacing w:line="480" w:lineRule="auto"/>
              <w:rPr>
                <w:rFonts w:ascii="Times New Roman" w:eastAsia="Calibri"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696F433D" w14:textId="77777777" w:rsidR="00BC6331" w:rsidRPr="00A51180" w:rsidRDefault="00BC6331" w:rsidP="00CD495B">
            <w:pPr>
              <w:spacing w:line="480" w:lineRule="auto"/>
              <w:rPr>
                <w:rFonts w:ascii="Times New Roman" w:eastAsia="Calibri" w:hAnsi="Times New Roman" w:cs="Times New Roman"/>
                <w:sz w:val="24"/>
                <w:szCs w:val="24"/>
              </w:rPr>
            </w:pPr>
          </w:p>
        </w:tc>
      </w:tr>
      <w:tr w:rsidR="00A745F1" w14:paraId="65302212" w14:textId="77777777" w:rsidTr="00FE02A7">
        <w:tc>
          <w:tcPr>
            <w:tcW w:w="6385" w:type="dxa"/>
            <w:tcBorders>
              <w:top w:val="single" w:sz="4" w:space="0" w:color="auto"/>
              <w:left w:val="single" w:sz="4" w:space="0" w:color="auto"/>
              <w:bottom w:val="single" w:sz="4" w:space="0" w:color="auto"/>
              <w:right w:val="single" w:sz="4" w:space="0" w:color="auto"/>
            </w:tcBorders>
            <w:hideMark/>
          </w:tcPr>
          <w:p w14:paraId="20C444D6"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Median household income</w:t>
            </w:r>
          </w:p>
        </w:tc>
        <w:tc>
          <w:tcPr>
            <w:tcW w:w="1710" w:type="dxa"/>
            <w:tcBorders>
              <w:top w:val="single" w:sz="4" w:space="0" w:color="auto"/>
              <w:left w:val="single" w:sz="4" w:space="0" w:color="auto"/>
              <w:bottom w:val="single" w:sz="4" w:space="0" w:color="auto"/>
              <w:right w:val="single" w:sz="4" w:space="0" w:color="auto"/>
            </w:tcBorders>
          </w:tcPr>
          <w:p w14:paraId="24918C40" w14:textId="77777777" w:rsidR="00A51180"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$95,602</w:t>
            </w:r>
          </w:p>
        </w:tc>
        <w:tc>
          <w:tcPr>
            <w:tcW w:w="1800" w:type="dxa"/>
            <w:tcBorders>
              <w:top w:val="single" w:sz="4" w:space="0" w:color="auto"/>
              <w:left w:val="single" w:sz="4" w:space="0" w:color="auto"/>
              <w:bottom w:val="single" w:sz="4" w:space="0" w:color="auto"/>
              <w:right w:val="single" w:sz="4" w:space="0" w:color="auto"/>
            </w:tcBorders>
          </w:tcPr>
          <w:p w14:paraId="7EBE4A2A" w14:textId="77777777" w:rsidR="00BC6331"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$121,274</w:t>
            </w:r>
          </w:p>
        </w:tc>
      </w:tr>
      <w:tr w:rsidR="00A745F1" w14:paraId="2C806D27" w14:textId="77777777" w:rsidTr="00FE02A7">
        <w:tc>
          <w:tcPr>
            <w:tcW w:w="6385" w:type="dxa"/>
            <w:tcBorders>
              <w:top w:val="single" w:sz="4" w:space="0" w:color="auto"/>
              <w:left w:val="single" w:sz="4" w:space="0" w:color="auto"/>
              <w:bottom w:val="single" w:sz="4" w:space="0" w:color="auto"/>
              <w:right w:val="single" w:sz="4" w:space="0" w:color="auto"/>
            </w:tcBorders>
          </w:tcPr>
          <w:p w14:paraId="0297ED47"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Per capita income past 12 months</w:t>
            </w:r>
          </w:p>
        </w:tc>
        <w:tc>
          <w:tcPr>
            <w:tcW w:w="1710" w:type="dxa"/>
            <w:tcBorders>
              <w:top w:val="single" w:sz="4" w:space="0" w:color="auto"/>
              <w:left w:val="single" w:sz="4" w:space="0" w:color="auto"/>
              <w:bottom w:val="single" w:sz="4" w:space="0" w:color="auto"/>
              <w:right w:val="single" w:sz="4" w:space="0" w:color="auto"/>
            </w:tcBorders>
          </w:tcPr>
          <w:p w14:paraId="19765D04" w14:textId="77777777" w:rsidR="00A51180"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$47,840</w:t>
            </w:r>
          </w:p>
        </w:tc>
        <w:tc>
          <w:tcPr>
            <w:tcW w:w="1800" w:type="dxa"/>
            <w:tcBorders>
              <w:top w:val="single" w:sz="4" w:space="0" w:color="auto"/>
              <w:left w:val="single" w:sz="4" w:space="0" w:color="auto"/>
              <w:bottom w:val="single" w:sz="4" w:space="0" w:color="auto"/>
              <w:right w:val="single" w:sz="4" w:space="0" w:color="auto"/>
            </w:tcBorders>
          </w:tcPr>
          <w:p w14:paraId="6CDB19FA" w14:textId="77777777" w:rsidR="00BC6331"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$53,529</w:t>
            </w:r>
          </w:p>
        </w:tc>
      </w:tr>
      <w:tr w:rsidR="00A745F1" w14:paraId="19CEBDC7" w14:textId="77777777" w:rsidTr="00FE02A7">
        <w:tc>
          <w:tcPr>
            <w:tcW w:w="6385" w:type="dxa"/>
            <w:tcBorders>
              <w:top w:val="single" w:sz="4" w:space="0" w:color="auto"/>
              <w:left w:val="single" w:sz="4" w:space="0" w:color="auto"/>
              <w:bottom w:val="single" w:sz="4" w:space="0" w:color="auto"/>
              <w:right w:val="single" w:sz="4" w:space="0" w:color="auto"/>
            </w:tcBorders>
            <w:hideMark/>
          </w:tcPr>
          <w:p w14:paraId="55E84935"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Percent persons in poverty</w:t>
            </w:r>
          </w:p>
        </w:tc>
        <w:tc>
          <w:tcPr>
            <w:tcW w:w="1710" w:type="dxa"/>
            <w:tcBorders>
              <w:top w:val="single" w:sz="4" w:space="0" w:color="auto"/>
              <w:left w:val="single" w:sz="4" w:space="0" w:color="auto"/>
              <w:bottom w:val="single" w:sz="4" w:space="0" w:color="auto"/>
              <w:right w:val="single" w:sz="4" w:space="0" w:color="auto"/>
            </w:tcBorders>
          </w:tcPr>
          <w:p w14:paraId="4B4D6080" w14:textId="77777777" w:rsidR="00A51180"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1800" w:type="dxa"/>
            <w:tcBorders>
              <w:top w:val="single" w:sz="4" w:space="0" w:color="auto"/>
              <w:left w:val="single" w:sz="4" w:space="0" w:color="auto"/>
              <w:bottom w:val="single" w:sz="4" w:space="0" w:color="auto"/>
              <w:right w:val="single" w:sz="4" w:space="0" w:color="auto"/>
            </w:tcBorders>
          </w:tcPr>
          <w:p w14:paraId="727BFE11" w14:textId="77777777" w:rsidR="00BC6331"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4.2%</w:t>
            </w:r>
          </w:p>
        </w:tc>
      </w:tr>
      <w:tr w:rsidR="00A745F1" w14:paraId="5EABBC6A" w14:textId="77777777" w:rsidTr="00FE02A7">
        <w:tc>
          <w:tcPr>
            <w:tcW w:w="6385" w:type="dxa"/>
            <w:tcBorders>
              <w:top w:val="single" w:sz="4" w:space="0" w:color="auto"/>
              <w:left w:val="single" w:sz="4" w:space="0" w:color="auto"/>
              <w:bottom w:val="single" w:sz="4" w:space="0" w:color="auto"/>
              <w:right w:val="single" w:sz="4" w:space="0" w:color="auto"/>
            </w:tcBorders>
            <w:hideMark/>
          </w:tcPr>
          <w:p w14:paraId="2B53287A"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Owner-occupied housing rate</w:t>
            </w:r>
          </w:p>
        </w:tc>
        <w:tc>
          <w:tcPr>
            <w:tcW w:w="1710" w:type="dxa"/>
            <w:tcBorders>
              <w:top w:val="single" w:sz="4" w:space="0" w:color="auto"/>
              <w:left w:val="single" w:sz="4" w:space="0" w:color="auto"/>
              <w:bottom w:val="single" w:sz="4" w:space="0" w:color="auto"/>
              <w:right w:val="single" w:sz="4" w:space="0" w:color="auto"/>
            </w:tcBorders>
          </w:tcPr>
          <w:p w14:paraId="3044981A" w14:textId="77777777" w:rsidR="00A51180"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59.1%</w:t>
            </w:r>
          </w:p>
        </w:tc>
        <w:tc>
          <w:tcPr>
            <w:tcW w:w="1800" w:type="dxa"/>
            <w:tcBorders>
              <w:top w:val="single" w:sz="4" w:space="0" w:color="auto"/>
              <w:left w:val="single" w:sz="4" w:space="0" w:color="auto"/>
              <w:bottom w:val="single" w:sz="4" w:space="0" w:color="auto"/>
              <w:right w:val="single" w:sz="4" w:space="0" w:color="auto"/>
            </w:tcBorders>
          </w:tcPr>
          <w:p w14:paraId="528BF7BC" w14:textId="77777777" w:rsidR="00BC6331"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81.4%</w:t>
            </w:r>
          </w:p>
        </w:tc>
      </w:tr>
      <w:tr w:rsidR="00A745F1" w14:paraId="6192D0C4" w14:textId="77777777" w:rsidTr="00FE02A7">
        <w:tc>
          <w:tcPr>
            <w:tcW w:w="6385" w:type="dxa"/>
            <w:tcBorders>
              <w:top w:val="single" w:sz="4" w:space="0" w:color="auto"/>
              <w:left w:val="single" w:sz="4" w:space="0" w:color="auto"/>
              <w:bottom w:val="single" w:sz="4" w:space="0" w:color="auto"/>
              <w:right w:val="single" w:sz="4" w:space="0" w:color="auto"/>
            </w:tcBorders>
          </w:tcPr>
          <w:p w14:paraId="7D681588"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 xml:space="preserve">Percent without health </w:t>
            </w:r>
            <w:r w:rsidRPr="00A51180">
              <w:rPr>
                <w:rFonts w:ascii="Times New Roman" w:eastAsia="Calibri" w:hAnsi="Times New Roman" w:cs="Times New Roman"/>
                <w:sz w:val="24"/>
                <w:szCs w:val="24"/>
              </w:rPr>
              <w:t>insurance under 65 years old</w:t>
            </w:r>
          </w:p>
        </w:tc>
        <w:tc>
          <w:tcPr>
            <w:tcW w:w="1710" w:type="dxa"/>
            <w:tcBorders>
              <w:top w:val="single" w:sz="4" w:space="0" w:color="auto"/>
              <w:left w:val="single" w:sz="4" w:space="0" w:color="auto"/>
              <w:bottom w:val="single" w:sz="4" w:space="0" w:color="auto"/>
              <w:right w:val="single" w:sz="4" w:space="0" w:color="auto"/>
            </w:tcBorders>
          </w:tcPr>
          <w:p w14:paraId="1D0EF93F" w14:textId="77777777" w:rsidR="00A51180"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1800" w:type="dxa"/>
            <w:tcBorders>
              <w:top w:val="single" w:sz="4" w:space="0" w:color="auto"/>
              <w:left w:val="single" w:sz="4" w:space="0" w:color="auto"/>
              <w:bottom w:val="single" w:sz="4" w:space="0" w:color="auto"/>
              <w:right w:val="single" w:sz="4" w:space="0" w:color="auto"/>
            </w:tcBorders>
          </w:tcPr>
          <w:p w14:paraId="627C9CA8" w14:textId="77777777" w:rsidR="00BC6331" w:rsidRPr="00A51180" w:rsidRDefault="0020080F" w:rsidP="00CD495B">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7.7%</w:t>
            </w:r>
          </w:p>
        </w:tc>
      </w:tr>
      <w:tr w:rsidR="00A745F1" w14:paraId="571FBC0F" w14:textId="77777777" w:rsidTr="00FE02A7">
        <w:tc>
          <w:tcPr>
            <w:tcW w:w="6385" w:type="dxa"/>
            <w:tcBorders>
              <w:top w:val="single" w:sz="4" w:space="0" w:color="auto"/>
              <w:left w:val="single" w:sz="4" w:space="0" w:color="auto"/>
              <w:bottom w:val="single" w:sz="4" w:space="0" w:color="auto"/>
              <w:right w:val="single" w:sz="4" w:space="0" w:color="auto"/>
            </w:tcBorders>
          </w:tcPr>
          <w:p w14:paraId="585FD315"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Percent children getting free or reduced-price lunches</w:t>
            </w:r>
          </w:p>
        </w:tc>
        <w:tc>
          <w:tcPr>
            <w:tcW w:w="1710" w:type="dxa"/>
            <w:tcBorders>
              <w:top w:val="single" w:sz="4" w:space="0" w:color="auto"/>
              <w:left w:val="single" w:sz="4" w:space="0" w:color="auto"/>
              <w:bottom w:val="single" w:sz="4" w:space="0" w:color="auto"/>
              <w:right w:val="single" w:sz="4" w:space="0" w:color="auto"/>
            </w:tcBorders>
          </w:tcPr>
          <w:p w14:paraId="6F31AB56" w14:textId="77777777" w:rsidR="00A51180" w:rsidRPr="00A51180" w:rsidRDefault="00A51180" w:rsidP="00CD495B">
            <w:pPr>
              <w:spacing w:line="480" w:lineRule="auto"/>
              <w:rPr>
                <w:rFonts w:ascii="Times New Roman" w:eastAsia="Calibri"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5F86F2DC" w14:textId="77777777" w:rsidR="00A51180" w:rsidRPr="00A51180" w:rsidRDefault="00A51180" w:rsidP="00CD495B">
            <w:pPr>
              <w:spacing w:line="480" w:lineRule="auto"/>
              <w:rPr>
                <w:rFonts w:ascii="Times New Roman" w:eastAsia="Calibri" w:hAnsi="Times New Roman" w:cs="Times New Roman"/>
                <w:sz w:val="24"/>
                <w:szCs w:val="24"/>
              </w:rPr>
            </w:pPr>
          </w:p>
        </w:tc>
      </w:tr>
      <w:tr w:rsidR="00A745F1" w14:paraId="422E4B3E" w14:textId="77777777" w:rsidTr="00FE02A7">
        <w:tc>
          <w:tcPr>
            <w:tcW w:w="6385" w:type="dxa"/>
            <w:tcBorders>
              <w:top w:val="single" w:sz="4" w:space="0" w:color="auto"/>
              <w:left w:val="single" w:sz="4" w:space="0" w:color="auto"/>
              <w:bottom w:val="single" w:sz="4" w:space="0" w:color="auto"/>
              <w:right w:val="single" w:sz="4" w:space="0" w:color="auto"/>
            </w:tcBorders>
          </w:tcPr>
          <w:p w14:paraId="777E78FE"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lastRenderedPageBreak/>
              <w:t>Percent children receiving food stamps</w:t>
            </w:r>
          </w:p>
        </w:tc>
        <w:tc>
          <w:tcPr>
            <w:tcW w:w="1710" w:type="dxa"/>
            <w:tcBorders>
              <w:top w:val="single" w:sz="4" w:space="0" w:color="auto"/>
              <w:left w:val="single" w:sz="4" w:space="0" w:color="auto"/>
              <w:bottom w:val="single" w:sz="4" w:space="0" w:color="auto"/>
              <w:right w:val="single" w:sz="4" w:space="0" w:color="auto"/>
            </w:tcBorders>
          </w:tcPr>
          <w:p w14:paraId="49F4978B" w14:textId="77777777" w:rsidR="00A51180" w:rsidRPr="00A51180" w:rsidRDefault="0020080F" w:rsidP="00CD495B">
            <w:pPr>
              <w:spacing w:line="480" w:lineRule="auto"/>
              <w:rPr>
                <w:rFonts w:ascii="Times New Roman" w:eastAsia="Calibri" w:hAnsi="Times New Roman" w:cs="Times New Roman"/>
                <w:sz w:val="24"/>
                <w:szCs w:val="24"/>
              </w:rPr>
            </w:pPr>
            <w:r w:rsidRPr="00CD495B">
              <w:rPr>
                <w:noProof/>
              </w:rPr>
              <w:drawing>
                <wp:inline distT="0" distB="0" distL="0" distR="0" wp14:anchorId="61F3DB34" wp14:editId="632D47E2">
                  <wp:extent cx="1847850" cy="1395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6"/>
                          <a:stretch>
                            <a:fillRect/>
                          </a:stretch>
                        </pic:blipFill>
                        <pic:spPr>
                          <a:xfrm>
                            <a:off x="0" y="0"/>
                            <a:ext cx="1851865" cy="1398727"/>
                          </a:xfrm>
                          <a:prstGeom prst="rect">
                            <a:avLst/>
                          </a:prstGeom>
                        </pic:spPr>
                      </pic:pic>
                    </a:graphicData>
                  </a:graphic>
                </wp:inline>
              </w:drawing>
            </w:r>
          </w:p>
        </w:tc>
        <w:tc>
          <w:tcPr>
            <w:tcW w:w="1800" w:type="dxa"/>
            <w:tcBorders>
              <w:top w:val="single" w:sz="4" w:space="0" w:color="auto"/>
              <w:left w:val="single" w:sz="4" w:space="0" w:color="auto"/>
              <w:bottom w:val="single" w:sz="4" w:space="0" w:color="auto"/>
              <w:right w:val="single" w:sz="4" w:space="0" w:color="auto"/>
            </w:tcBorders>
          </w:tcPr>
          <w:p w14:paraId="47667F4B" w14:textId="77777777" w:rsidR="00A51180" w:rsidRPr="00A51180" w:rsidRDefault="0020080F" w:rsidP="00CD495B">
            <w:pPr>
              <w:spacing w:line="480" w:lineRule="auto"/>
              <w:rPr>
                <w:rFonts w:ascii="Times New Roman" w:eastAsia="Calibri" w:hAnsi="Times New Roman" w:cs="Times New Roman"/>
                <w:sz w:val="24"/>
                <w:szCs w:val="24"/>
              </w:rPr>
            </w:pPr>
            <w:r w:rsidRPr="000F2942">
              <w:rPr>
                <w:noProof/>
              </w:rPr>
              <w:drawing>
                <wp:inline distT="0" distB="0" distL="0" distR="0" wp14:anchorId="5B2B9BD1" wp14:editId="33057E4A">
                  <wp:extent cx="1647825" cy="13182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
                          <a:stretch>
                            <a:fillRect/>
                          </a:stretch>
                        </pic:blipFill>
                        <pic:spPr>
                          <a:xfrm>
                            <a:off x="0" y="0"/>
                            <a:ext cx="1648936" cy="1319149"/>
                          </a:xfrm>
                          <a:prstGeom prst="rect">
                            <a:avLst/>
                          </a:prstGeom>
                        </pic:spPr>
                      </pic:pic>
                    </a:graphicData>
                  </a:graphic>
                </wp:inline>
              </w:drawing>
            </w:r>
          </w:p>
        </w:tc>
      </w:tr>
      <w:tr w:rsidR="00A745F1" w14:paraId="0D113C2A" w14:textId="77777777" w:rsidTr="00FE02A7">
        <w:tc>
          <w:tcPr>
            <w:tcW w:w="6385" w:type="dxa"/>
            <w:tcBorders>
              <w:top w:val="single" w:sz="4" w:space="0" w:color="auto"/>
              <w:left w:val="single" w:sz="4" w:space="0" w:color="auto"/>
              <w:bottom w:val="single" w:sz="4" w:space="0" w:color="auto"/>
              <w:right w:val="single" w:sz="4" w:space="0" w:color="auto"/>
            </w:tcBorders>
          </w:tcPr>
          <w:p w14:paraId="0509720D"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Image of race and ethnicity by tract</w:t>
            </w:r>
          </w:p>
        </w:tc>
        <w:tc>
          <w:tcPr>
            <w:tcW w:w="1710" w:type="dxa"/>
            <w:tcBorders>
              <w:top w:val="single" w:sz="4" w:space="0" w:color="auto"/>
              <w:left w:val="single" w:sz="4" w:space="0" w:color="auto"/>
              <w:bottom w:val="single" w:sz="4" w:space="0" w:color="auto"/>
              <w:right w:val="single" w:sz="4" w:space="0" w:color="auto"/>
            </w:tcBorders>
          </w:tcPr>
          <w:p w14:paraId="56691F1C" w14:textId="77777777" w:rsidR="00A51180" w:rsidRPr="00A51180" w:rsidRDefault="0020080F" w:rsidP="00CD495B">
            <w:pPr>
              <w:spacing w:line="480" w:lineRule="auto"/>
              <w:rPr>
                <w:rFonts w:ascii="Times New Roman" w:eastAsia="Calibri" w:hAnsi="Times New Roman" w:cs="Times New Roman"/>
                <w:sz w:val="24"/>
                <w:szCs w:val="24"/>
              </w:rPr>
            </w:pPr>
            <w:r w:rsidRPr="00CD495B">
              <w:rPr>
                <w:noProof/>
              </w:rPr>
              <w:drawing>
                <wp:inline distT="0" distB="0" distL="0" distR="0" wp14:anchorId="74CA9CCB" wp14:editId="1BEE15A1">
                  <wp:extent cx="1771650" cy="1417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71650" cy="1417320"/>
                          </a:xfrm>
                          <a:prstGeom prst="rect">
                            <a:avLst/>
                          </a:prstGeom>
                        </pic:spPr>
                      </pic:pic>
                    </a:graphicData>
                  </a:graphic>
                </wp:inline>
              </w:drawing>
            </w:r>
          </w:p>
        </w:tc>
        <w:tc>
          <w:tcPr>
            <w:tcW w:w="1800" w:type="dxa"/>
            <w:tcBorders>
              <w:top w:val="single" w:sz="4" w:space="0" w:color="auto"/>
              <w:left w:val="single" w:sz="4" w:space="0" w:color="auto"/>
              <w:bottom w:val="single" w:sz="4" w:space="0" w:color="auto"/>
              <w:right w:val="single" w:sz="4" w:space="0" w:color="auto"/>
            </w:tcBorders>
          </w:tcPr>
          <w:p w14:paraId="19DB4C77" w14:textId="77777777" w:rsidR="00A51180" w:rsidRPr="00A51180" w:rsidRDefault="0020080F" w:rsidP="00CD495B">
            <w:pPr>
              <w:spacing w:line="480" w:lineRule="auto"/>
              <w:rPr>
                <w:rFonts w:ascii="Times New Roman" w:eastAsia="Calibri" w:hAnsi="Times New Roman" w:cs="Times New Roman"/>
                <w:sz w:val="24"/>
                <w:szCs w:val="24"/>
              </w:rPr>
            </w:pPr>
            <w:r w:rsidRPr="00CD495B">
              <w:rPr>
                <w:noProof/>
              </w:rPr>
              <w:drawing>
                <wp:inline distT="0" distB="0" distL="0" distR="0" wp14:anchorId="17C07AF6" wp14:editId="4E39EF0E">
                  <wp:extent cx="1724025" cy="13792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
                          <a:stretch>
                            <a:fillRect/>
                          </a:stretch>
                        </pic:blipFill>
                        <pic:spPr>
                          <a:xfrm>
                            <a:off x="0" y="0"/>
                            <a:ext cx="1724321" cy="1379457"/>
                          </a:xfrm>
                          <a:prstGeom prst="rect">
                            <a:avLst/>
                          </a:prstGeom>
                        </pic:spPr>
                      </pic:pic>
                    </a:graphicData>
                  </a:graphic>
                </wp:inline>
              </w:drawing>
            </w:r>
          </w:p>
        </w:tc>
      </w:tr>
      <w:tr w:rsidR="00A745F1" w14:paraId="34DF6BF7" w14:textId="77777777" w:rsidTr="00FE02A7">
        <w:tc>
          <w:tcPr>
            <w:tcW w:w="6385" w:type="dxa"/>
            <w:tcBorders>
              <w:top w:val="single" w:sz="4" w:space="0" w:color="auto"/>
              <w:left w:val="single" w:sz="4" w:space="0" w:color="auto"/>
              <w:bottom w:val="single" w:sz="4" w:space="0" w:color="auto"/>
              <w:right w:val="single" w:sz="4" w:space="0" w:color="auto"/>
            </w:tcBorders>
          </w:tcPr>
          <w:p w14:paraId="693DBCF2" w14:textId="77777777" w:rsidR="00A51180" w:rsidRPr="00A51180" w:rsidRDefault="0020080F" w:rsidP="00CD495B">
            <w:pPr>
              <w:spacing w:line="480" w:lineRule="auto"/>
              <w:rPr>
                <w:rFonts w:ascii="Times New Roman" w:eastAsia="Calibri" w:hAnsi="Times New Roman" w:cs="Times New Roman"/>
                <w:sz w:val="24"/>
                <w:szCs w:val="24"/>
              </w:rPr>
            </w:pPr>
            <w:r w:rsidRPr="00A51180">
              <w:rPr>
                <w:rFonts w:ascii="Times New Roman" w:eastAsia="Calibri" w:hAnsi="Times New Roman" w:cs="Times New Roman"/>
                <w:sz w:val="24"/>
                <w:szCs w:val="24"/>
              </w:rPr>
              <w:t>Unemployed 25-64 years old</w:t>
            </w:r>
          </w:p>
        </w:tc>
        <w:tc>
          <w:tcPr>
            <w:tcW w:w="1710" w:type="dxa"/>
            <w:tcBorders>
              <w:top w:val="single" w:sz="4" w:space="0" w:color="auto"/>
              <w:left w:val="single" w:sz="4" w:space="0" w:color="auto"/>
              <w:bottom w:val="single" w:sz="4" w:space="0" w:color="auto"/>
              <w:right w:val="single" w:sz="4" w:space="0" w:color="auto"/>
            </w:tcBorders>
          </w:tcPr>
          <w:p w14:paraId="008677C5" w14:textId="77777777" w:rsidR="00A51180" w:rsidRPr="00A51180" w:rsidRDefault="0020080F" w:rsidP="00CD495B">
            <w:pPr>
              <w:spacing w:line="480" w:lineRule="auto"/>
              <w:rPr>
                <w:rFonts w:ascii="Times New Roman" w:eastAsia="Calibri" w:hAnsi="Times New Roman" w:cs="Times New Roman"/>
                <w:sz w:val="24"/>
                <w:szCs w:val="24"/>
              </w:rPr>
            </w:pPr>
            <w:r w:rsidRPr="00CD495B">
              <w:rPr>
                <w:noProof/>
              </w:rPr>
              <w:drawing>
                <wp:inline distT="0" distB="0" distL="0" distR="0" wp14:anchorId="1F94D510" wp14:editId="2BBE8CA6">
                  <wp:extent cx="1838325" cy="14706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
                          <a:stretch>
                            <a:fillRect/>
                          </a:stretch>
                        </pic:blipFill>
                        <pic:spPr>
                          <a:xfrm>
                            <a:off x="0" y="0"/>
                            <a:ext cx="1838325" cy="1470660"/>
                          </a:xfrm>
                          <a:prstGeom prst="rect">
                            <a:avLst/>
                          </a:prstGeom>
                        </pic:spPr>
                      </pic:pic>
                    </a:graphicData>
                  </a:graphic>
                </wp:inline>
              </w:drawing>
            </w:r>
          </w:p>
        </w:tc>
        <w:tc>
          <w:tcPr>
            <w:tcW w:w="1800" w:type="dxa"/>
            <w:tcBorders>
              <w:top w:val="single" w:sz="4" w:space="0" w:color="auto"/>
              <w:left w:val="single" w:sz="4" w:space="0" w:color="auto"/>
              <w:bottom w:val="single" w:sz="4" w:space="0" w:color="auto"/>
              <w:right w:val="single" w:sz="4" w:space="0" w:color="auto"/>
            </w:tcBorders>
          </w:tcPr>
          <w:p w14:paraId="41AD6A9A" w14:textId="77777777" w:rsidR="00A51180" w:rsidRPr="00A51180" w:rsidRDefault="0020080F" w:rsidP="00CD495B">
            <w:pPr>
              <w:spacing w:line="480" w:lineRule="auto"/>
              <w:rPr>
                <w:rFonts w:ascii="Times New Roman" w:eastAsia="Calibri" w:hAnsi="Times New Roman" w:cs="Times New Roman"/>
                <w:sz w:val="24"/>
                <w:szCs w:val="24"/>
              </w:rPr>
            </w:pPr>
            <w:r w:rsidRPr="00CD495B">
              <w:rPr>
                <w:noProof/>
              </w:rPr>
              <w:drawing>
                <wp:inline distT="0" distB="0" distL="0" distR="0" wp14:anchorId="48267ADF" wp14:editId="07448A31">
                  <wp:extent cx="1733550" cy="1386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a:stretch>
                            <a:fillRect/>
                          </a:stretch>
                        </pic:blipFill>
                        <pic:spPr>
                          <a:xfrm>
                            <a:off x="0" y="0"/>
                            <a:ext cx="1736210" cy="1388968"/>
                          </a:xfrm>
                          <a:prstGeom prst="rect">
                            <a:avLst/>
                          </a:prstGeom>
                        </pic:spPr>
                      </pic:pic>
                    </a:graphicData>
                  </a:graphic>
                </wp:inline>
              </w:drawing>
            </w:r>
          </w:p>
        </w:tc>
      </w:tr>
    </w:tbl>
    <w:p w14:paraId="7A3DB5BF" w14:textId="77777777" w:rsidR="00FE02A7" w:rsidRPr="00FE02A7" w:rsidRDefault="00FE02A7" w:rsidP="00CD495B">
      <w:pPr>
        <w:spacing w:line="480" w:lineRule="auto"/>
        <w:rPr>
          <w:rFonts w:ascii="Calibri" w:eastAsia="Calibri" w:hAnsi="Calibri" w:cs="Times New Roman"/>
        </w:rPr>
      </w:pPr>
    </w:p>
    <w:p w14:paraId="2C726A7B" w14:textId="77777777" w:rsidR="00876F89" w:rsidRDefault="0020080F" w:rsidP="00876F8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two suburban cities in Texas are homogenous. There are very slight differences between them, showing that almost everything happening in one city happens in another. For example, the population growth rate in both cities is similar. </w:t>
      </w:r>
      <w:r w:rsidR="0032011F">
        <w:rPr>
          <w:rFonts w:ascii="Times New Roman" w:hAnsi="Times New Roman" w:cs="Times New Roman"/>
          <w:sz w:val="24"/>
          <w:szCs w:val="24"/>
        </w:rPr>
        <w:t>Some of the similarities between suburban areas and central city settlement patterns include a large population of people is within the central areas, and there is a diversity of race and ethnicity. Yes, I expected to find such data considering that suburban areas comprise people living average livelihood since they earn an average income. Issues like poverty, lack of health insurance, and population, which is commonly resulted from unemployment.</w:t>
      </w:r>
    </w:p>
    <w:p w14:paraId="31C59466" w14:textId="29CEE57A" w:rsidR="005B7153" w:rsidRDefault="0020080F" w:rsidP="005B715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6291D">
        <w:rPr>
          <w:rFonts w:ascii="Times New Roman" w:hAnsi="Times New Roman" w:cs="Times New Roman"/>
          <w:sz w:val="24"/>
          <w:szCs w:val="24"/>
        </w:rPr>
        <w:t xml:space="preserve">Challenges </w:t>
      </w:r>
      <w:r w:rsidR="00255191">
        <w:rPr>
          <w:rFonts w:ascii="Times New Roman" w:hAnsi="Times New Roman" w:cs="Times New Roman"/>
          <w:sz w:val="24"/>
          <w:szCs w:val="24"/>
        </w:rPr>
        <w:t xml:space="preserve">the poor face in the suburbs that wealthier people may avoid include: </w:t>
      </w:r>
      <w:r w:rsidR="00876F89">
        <w:rPr>
          <w:rFonts w:ascii="Times New Roman" w:hAnsi="Times New Roman" w:cs="Times New Roman"/>
          <w:sz w:val="24"/>
          <w:szCs w:val="24"/>
        </w:rPr>
        <w:t>F</w:t>
      </w:r>
      <w:r w:rsidR="00255191">
        <w:rPr>
          <w:rFonts w:ascii="Times New Roman" w:hAnsi="Times New Roman" w:cs="Times New Roman"/>
          <w:sz w:val="24"/>
          <w:szCs w:val="24"/>
        </w:rPr>
        <w:t>irst, affordable housing. Housing is a challenge to many poor people in the suburbs. Individuals living in the suburbs are low-income earners. Some of them unemployed worsening the situation</w:t>
      </w:r>
      <w:r w:rsidR="007943CF">
        <w:rPr>
          <w:rFonts w:ascii="Times New Roman" w:hAnsi="Times New Roman" w:cs="Times New Roman"/>
          <w:sz w:val="24"/>
          <w:szCs w:val="24"/>
        </w:rPr>
        <w:t xml:space="preserve"> </w:t>
      </w:r>
      <w:r w:rsidR="007943CF" w:rsidRPr="007943CF">
        <w:rPr>
          <w:rFonts w:ascii="Times New Roman" w:hAnsi="Times New Roman" w:cs="Times New Roman"/>
          <w:sz w:val="24"/>
          <w:szCs w:val="24"/>
        </w:rPr>
        <w:t>(Gaines, 2010)</w:t>
      </w:r>
      <w:r w:rsidR="00255191">
        <w:rPr>
          <w:rFonts w:ascii="Times New Roman" w:hAnsi="Times New Roman" w:cs="Times New Roman"/>
          <w:sz w:val="24"/>
          <w:szCs w:val="24"/>
        </w:rPr>
        <w:t>. Therefore, getting affordable houses for their families becomes a great challenge. Second, unemployment is a challenge that people in the suburbs face. The job opportunities available from time to time can't serve the large population living in the suburbs</w:t>
      </w:r>
      <w:r w:rsidR="007943CF">
        <w:rPr>
          <w:rFonts w:ascii="Times New Roman" w:hAnsi="Times New Roman" w:cs="Times New Roman"/>
          <w:sz w:val="24"/>
          <w:szCs w:val="24"/>
        </w:rPr>
        <w:t xml:space="preserve"> </w:t>
      </w:r>
      <w:r w:rsidR="007943CF" w:rsidRPr="007943CF">
        <w:rPr>
          <w:rFonts w:ascii="Times New Roman" w:hAnsi="Times New Roman" w:cs="Times New Roman"/>
          <w:sz w:val="24"/>
          <w:szCs w:val="24"/>
        </w:rPr>
        <w:t>(Gaines, 2010)</w:t>
      </w:r>
      <w:r w:rsidR="00255191">
        <w:rPr>
          <w:rFonts w:ascii="Times New Roman" w:hAnsi="Times New Roman" w:cs="Times New Roman"/>
          <w:sz w:val="24"/>
          <w:szCs w:val="24"/>
        </w:rPr>
        <w:t xml:space="preserve">. This condition leaves many of these individuals languishing in poverty. Third, diet-related health challenges. The population in the suburbs comprise of low-and-middle-income earners. It means that the population struggles to get nutritious foods because it is difficult to afford them. Forth, </w:t>
      </w:r>
      <w:r w:rsidR="00876F89">
        <w:rPr>
          <w:rFonts w:ascii="Times New Roman" w:hAnsi="Times New Roman" w:cs="Times New Roman"/>
          <w:sz w:val="24"/>
          <w:szCs w:val="24"/>
        </w:rPr>
        <w:t>lack of proper healthcare services. The majority of people living in the suburbs lack health insurance. Access to proper healthcare is a challenge</w:t>
      </w:r>
      <w:r w:rsidR="007943CF" w:rsidRPr="007943CF">
        <w:rPr>
          <w:rFonts w:ascii="Times New Roman" w:hAnsi="Times New Roman" w:cs="Times New Roman"/>
          <w:sz w:val="24"/>
          <w:szCs w:val="24"/>
        </w:rPr>
        <w:t xml:space="preserve"> </w:t>
      </w:r>
      <w:r w:rsidR="007943CF">
        <w:rPr>
          <w:rFonts w:ascii="Times New Roman" w:hAnsi="Times New Roman" w:cs="Times New Roman"/>
          <w:sz w:val="24"/>
          <w:szCs w:val="24"/>
        </w:rPr>
        <w:t>(</w:t>
      </w:r>
      <w:r w:rsidR="007943CF" w:rsidRPr="007943CF">
        <w:rPr>
          <w:rFonts w:ascii="Times New Roman" w:hAnsi="Times New Roman" w:cs="Times New Roman"/>
          <w:sz w:val="24"/>
          <w:szCs w:val="24"/>
        </w:rPr>
        <w:t>Gaines</w:t>
      </w:r>
      <w:r w:rsidR="007943CF">
        <w:rPr>
          <w:rFonts w:ascii="Times New Roman" w:hAnsi="Times New Roman" w:cs="Times New Roman"/>
          <w:sz w:val="24"/>
          <w:szCs w:val="24"/>
        </w:rPr>
        <w:t xml:space="preserve">, </w:t>
      </w:r>
      <w:r w:rsidR="007943CF" w:rsidRPr="007943CF">
        <w:rPr>
          <w:rFonts w:ascii="Times New Roman" w:hAnsi="Times New Roman" w:cs="Times New Roman"/>
          <w:sz w:val="24"/>
          <w:szCs w:val="24"/>
        </w:rPr>
        <w:t>2010)</w:t>
      </w:r>
      <w:r w:rsidR="00876F89">
        <w:rPr>
          <w:rFonts w:ascii="Times New Roman" w:hAnsi="Times New Roman" w:cs="Times New Roman"/>
          <w:sz w:val="24"/>
          <w:szCs w:val="24"/>
        </w:rPr>
        <w:t>. Nevertheless, for the poor living in the central cities, these challenges are much worse since life in the central cities comprises the wealthier population. Services provided in the central cities focus on wealthy people and not on the poor</w:t>
      </w:r>
      <w:r w:rsidR="005B7153">
        <w:rPr>
          <w:rFonts w:ascii="Times New Roman" w:hAnsi="Times New Roman" w:cs="Times New Roman"/>
          <w:sz w:val="24"/>
          <w:szCs w:val="24"/>
        </w:rPr>
        <w:t>.</w:t>
      </w:r>
    </w:p>
    <w:p w14:paraId="07C517A1" w14:textId="2F283C14" w:rsidR="005B7153" w:rsidRDefault="005B7153" w:rsidP="005B7153">
      <w:pPr>
        <w:spacing w:line="480" w:lineRule="auto"/>
        <w:ind w:firstLine="720"/>
        <w:rPr>
          <w:rFonts w:ascii="Times New Roman" w:hAnsi="Times New Roman" w:cs="Times New Roman"/>
          <w:sz w:val="24"/>
          <w:szCs w:val="24"/>
        </w:rPr>
      </w:pPr>
    </w:p>
    <w:p w14:paraId="359594C5" w14:textId="46792AAC" w:rsidR="005B7153" w:rsidRDefault="005B7153" w:rsidP="005B7153">
      <w:pPr>
        <w:spacing w:line="480" w:lineRule="auto"/>
        <w:ind w:firstLine="720"/>
        <w:rPr>
          <w:rFonts w:ascii="Times New Roman" w:hAnsi="Times New Roman" w:cs="Times New Roman"/>
          <w:sz w:val="24"/>
          <w:szCs w:val="24"/>
        </w:rPr>
      </w:pPr>
    </w:p>
    <w:p w14:paraId="3166F1E9" w14:textId="555B40EC" w:rsidR="005B7153" w:rsidRDefault="005B7153" w:rsidP="005B7153">
      <w:pPr>
        <w:spacing w:line="480" w:lineRule="auto"/>
        <w:ind w:firstLine="720"/>
        <w:rPr>
          <w:rFonts w:ascii="Times New Roman" w:hAnsi="Times New Roman" w:cs="Times New Roman"/>
          <w:sz w:val="24"/>
          <w:szCs w:val="24"/>
        </w:rPr>
      </w:pPr>
    </w:p>
    <w:p w14:paraId="28D6904D" w14:textId="4A6AA965" w:rsidR="005B7153" w:rsidRDefault="005B7153" w:rsidP="005B7153">
      <w:pPr>
        <w:spacing w:line="480" w:lineRule="auto"/>
        <w:ind w:firstLine="720"/>
        <w:rPr>
          <w:rFonts w:ascii="Times New Roman" w:hAnsi="Times New Roman" w:cs="Times New Roman"/>
          <w:sz w:val="24"/>
          <w:szCs w:val="24"/>
        </w:rPr>
      </w:pPr>
    </w:p>
    <w:p w14:paraId="78F17635" w14:textId="6250CC62" w:rsidR="005B7153" w:rsidRDefault="005B7153" w:rsidP="005B7153">
      <w:pPr>
        <w:spacing w:line="480" w:lineRule="auto"/>
        <w:ind w:firstLine="720"/>
        <w:rPr>
          <w:rFonts w:ascii="Times New Roman" w:hAnsi="Times New Roman" w:cs="Times New Roman"/>
          <w:sz w:val="24"/>
          <w:szCs w:val="24"/>
        </w:rPr>
      </w:pPr>
    </w:p>
    <w:p w14:paraId="50BDB2A1" w14:textId="187A9AF7" w:rsidR="005B7153" w:rsidRDefault="005B7153" w:rsidP="005B7153">
      <w:pPr>
        <w:spacing w:line="480" w:lineRule="auto"/>
        <w:ind w:firstLine="720"/>
        <w:rPr>
          <w:rFonts w:ascii="Times New Roman" w:hAnsi="Times New Roman" w:cs="Times New Roman"/>
          <w:sz w:val="24"/>
          <w:szCs w:val="24"/>
        </w:rPr>
      </w:pPr>
    </w:p>
    <w:p w14:paraId="3297AC5B" w14:textId="7FBBE27E" w:rsidR="005B7153" w:rsidRDefault="005B7153" w:rsidP="005B7153">
      <w:pPr>
        <w:spacing w:line="480" w:lineRule="auto"/>
        <w:ind w:firstLine="720"/>
        <w:rPr>
          <w:rFonts w:ascii="Times New Roman" w:hAnsi="Times New Roman" w:cs="Times New Roman"/>
          <w:sz w:val="24"/>
          <w:szCs w:val="24"/>
        </w:rPr>
      </w:pPr>
    </w:p>
    <w:p w14:paraId="65ECE7E5" w14:textId="77777777" w:rsidR="005B7153" w:rsidRDefault="005B7153" w:rsidP="005B7153">
      <w:pPr>
        <w:spacing w:line="480" w:lineRule="auto"/>
        <w:ind w:firstLine="720"/>
        <w:rPr>
          <w:rFonts w:ascii="Times New Roman" w:hAnsi="Times New Roman" w:cs="Times New Roman"/>
          <w:sz w:val="24"/>
          <w:szCs w:val="24"/>
        </w:rPr>
      </w:pPr>
    </w:p>
    <w:p w14:paraId="712AFC81" w14:textId="77777777" w:rsidR="005B7153" w:rsidRDefault="005B7153" w:rsidP="005B7153">
      <w:pPr>
        <w:spacing w:line="48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Sources </w:t>
      </w:r>
    </w:p>
    <w:p w14:paraId="1905E2D5" w14:textId="798839FD" w:rsidR="005B7153" w:rsidRDefault="005B7153" w:rsidP="005B7153">
      <w:pPr>
        <w:spacing w:line="480" w:lineRule="auto"/>
        <w:rPr>
          <w:rFonts w:ascii="Times New Roman" w:hAnsi="Times New Roman" w:cs="Times New Roman"/>
          <w:sz w:val="24"/>
          <w:szCs w:val="24"/>
        </w:rPr>
      </w:pPr>
      <w:r w:rsidRPr="005B7153">
        <w:rPr>
          <w:rFonts w:ascii="Times New Roman" w:hAnsi="Times New Roman" w:cs="Times New Roman"/>
          <w:sz w:val="24"/>
          <w:szCs w:val="24"/>
        </w:rPr>
        <w:t>Gaines</w:t>
      </w:r>
      <w:r>
        <w:rPr>
          <w:rFonts w:ascii="Times New Roman" w:hAnsi="Times New Roman" w:cs="Times New Roman"/>
          <w:sz w:val="24"/>
          <w:szCs w:val="24"/>
        </w:rPr>
        <w:t xml:space="preserve"> A. C. (2010). </w:t>
      </w:r>
      <w:r w:rsidRPr="005B7153">
        <w:rPr>
          <w:rFonts w:ascii="Times New Roman" w:hAnsi="Times New Roman" w:cs="Times New Roman"/>
          <w:sz w:val="24"/>
          <w:szCs w:val="24"/>
        </w:rPr>
        <w:t>Trouble in the Suburbs</w:t>
      </w:r>
      <w:r>
        <w:rPr>
          <w:rFonts w:ascii="Times New Roman" w:hAnsi="Times New Roman" w:cs="Times New Roman"/>
          <w:sz w:val="24"/>
          <w:szCs w:val="24"/>
        </w:rPr>
        <w:t>:</w:t>
      </w:r>
      <w:r w:rsidRPr="005B7153">
        <w:rPr>
          <w:rFonts w:ascii="Arial" w:eastAsia="Times New Roman" w:hAnsi="Arial" w:cs="Arial"/>
          <w:i/>
          <w:iCs/>
          <w:sz w:val="24"/>
          <w:szCs w:val="24"/>
        </w:rPr>
        <w:t xml:space="preserve"> </w:t>
      </w:r>
      <w:r w:rsidRPr="005B7153">
        <w:rPr>
          <w:rFonts w:ascii="Times New Roman" w:hAnsi="Times New Roman" w:cs="Times New Roman"/>
          <w:i/>
          <w:iCs/>
          <w:sz w:val="24"/>
          <w:szCs w:val="24"/>
        </w:rPr>
        <w:t>Poverty Rises in Areas Outside Cities</w:t>
      </w:r>
      <w:r>
        <w:rPr>
          <w:rFonts w:ascii="Times New Roman" w:hAnsi="Times New Roman" w:cs="Times New Roman"/>
          <w:sz w:val="24"/>
          <w:szCs w:val="24"/>
        </w:rPr>
        <w:t xml:space="preserve">. Retrieved March 11, 2021 from, </w:t>
      </w:r>
      <w:hyperlink r:id="rId12" w:history="1">
        <w:r w:rsidRPr="003C4F09">
          <w:rPr>
            <w:rStyle w:val="Hyperlink"/>
            <w:rFonts w:ascii="Times New Roman" w:hAnsi="Times New Roman" w:cs="Times New Roman"/>
            <w:sz w:val="24"/>
            <w:szCs w:val="24"/>
          </w:rPr>
          <w:t>https://www.americanprogress.org/issues/poverty/news/2010/10/27/8457/trouble-in-the-suburbs/</w:t>
        </w:r>
      </w:hyperlink>
    </w:p>
    <w:p w14:paraId="11DBC359" w14:textId="77777777" w:rsidR="005B7153" w:rsidRDefault="005B7153" w:rsidP="005B7153">
      <w:pPr>
        <w:spacing w:line="480" w:lineRule="auto"/>
        <w:rPr>
          <w:rFonts w:ascii="Times New Roman" w:hAnsi="Times New Roman" w:cs="Times New Roman"/>
          <w:sz w:val="24"/>
          <w:szCs w:val="24"/>
        </w:rPr>
      </w:pPr>
      <w:hyperlink r:id="rId13" w:history="1">
        <w:r w:rsidRPr="005B7153">
          <w:rPr>
            <w:rStyle w:val="Hyperlink"/>
            <w:rFonts w:ascii="Times New Roman" w:hAnsi="Times New Roman" w:cs="Times New Roman"/>
            <w:sz w:val="24"/>
            <w:szCs w:val="24"/>
          </w:rPr>
          <w:t>https://statisticalatlas.com/United-States/Race-and-Ethnicity</w:t>
        </w:r>
      </w:hyperlink>
    </w:p>
    <w:p w14:paraId="36E1E920" w14:textId="4CEC1E26" w:rsidR="005B7153" w:rsidRDefault="005B7153" w:rsidP="005B7153">
      <w:pPr>
        <w:spacing w:line="480" w:lineRule="auto"/>
        <w:rPr>
          <w:rFonts w:ascii="Times New Roman" w:hAnsi="Times New Roman" w:cs="Times New Roman"/>
          <w:sz w:val="24"/>
          <w:szCs w:val="24"/>
        </w:rPr>
      </w:pPr>
      <w:hyperlink r:id="rId14" w:history="1">
        <w:r w:rsidRPr="005B7153">
          <w:rPr>
            <w:rStyle w:val="Hyperlink"/>
            <w:rFonts w:ascii="Times New Roman" w:hAnsi="Times New Roman" w:cs="Times New Roman"/>
            <w:sz w:val="24"/>
            <w:szCs w:val="24"/>
          </w:rPr>
          <w:t>https://www.census.gov/quickfacts/fact/table/US/PST045219</w:t>
        </w:r>
      </w:hyperlink>
    </w:p>
    <w:p w14:paraId="194D82A8" w14:textId="5B8C2BC2" w:rsidR="005B7153" w:rsidRDefault="005B7153" w:rsidP="005B7153">
      <w:pPr>
        <w:spacing w:line="480" w:lineRule="auto"/>
        <w:rPr>
          <w:rFonts w:ascii="Times New Roman" w:hAnsi="Times New Roman" w:cs="Times New Roman"/>
          <w:sz w:val="24"/>
          <w:szCs w:val="24"/>
        </w:rPr>
      </w:pPr>
      <w:hyperlink r:id="rId15" w:history="1">
        <w:r w:rsidRPr="005B7153">
          <w:rPr>
            <w:rStyle w:val="Hyperlink"/>
            <w:rFonts w:ascii="Times New Roman" w:hAnsi="Times New Roman" w:cs="Times New Roman"/>
            <w:sz w:val="24"/>
            <w:szCs w:val="24"/>
          </w:rPr>
          <w:t>https://statisticalatlas.com/United-States/Overview</w:t>
        </w:r>
      </w:hyperlink>
    </w:p>
    <w:p w14:paraId="37ED81F8" w14:textId="77777777" w:rsidR="005B7153" w:rsidRPr="005B7153" w:rsidRDefault="005B7153" w:rsidP="005B7153">
      <w:pPr>
        <w:spacing w:line="480" w:lineRule="auto"/>
        <w:rPr>
          <w:rFonts w:ascii="Times New Roman" w:hAnsi="Times New Roman" w:cs="Times New Roman"/>
          <w:sz w:val="24"/>
          <w:szCs w:val="24"/>
        </w:rPr>
      </w:pPr>
    </w:p>
    <w:sectPr w:rsidR="005B7153" w:rsidRPr="005B7153" w:rsidSect="000712CD">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9B161" w14:textId="77777777" w:rsidR="0020080F" w:rsidRDefault="0020080F">
      <w:pPr>
        <w:spacing w:after="0" w:line="240" w:lineRule="auto"/>
      </w:pPr>
      <w:r>
        <w:separator/>
      </w:r>
    </w:p>
  </w:endnote>
  <w:endnote w:type="continuationSeparator" w:id="0">
    <w:p w14:paraId="5AAA096A" w14:textId="77777777" w:rsidR="0020080F" w:rsidRDefault="00200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A1D01" w14:textId="77777777" w:rsidR="0020080F" w:rsidRDefault="0020080F">
      <w:pPr>
        <w:spacing w:after="0" w:line="240" w:lineRule="auto"/>
      </w:pPr>
      <w:r>
        <w:separator/>
      </w:r>
    </w:p>
  </w:footnote>
  <w:footnote w:type="continuationSeparator" w:id="0">
    <w:p w14:paraId="439DDDFF" w14:textId="77777777" w:rsidR="0020080F" w:rsidRDefault="00200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2868739"/>
      <w:docPartObj>
        <w:docPartGallery w:val="Page Numbers (Top of Page)"/>
        <w:docPartUnique/>
      </w:docPartObj>
    </w:sdtPr>
    <w:sdtEndPr>
      <w:rPr>
        <w:noProof/>
      </w:rPr>
    </w:sdtEndPr>
    <w:sdtContent>
      <w:p w14:paraId="7FD909DC" w14:textId="77777777" w:rsidR="000712CD" w:rsidRDefault="0020080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5C2E4A" w14:textId="77777777" w:rsidR="000712CD" w:rsidRDefault="000712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180"/>
    <w:rsid w:val="000712CD"/>
    <w:rsid w:val="000F211E"/>
    <w:rsid w:val="000F2942"/>
    <w:rsid w:val="0020080F"/>
    <w:rsid w:val="00255191"/>
    <w:rsid w:val="0026291D"/>
    <w:rsid w:val="0032011F"/>
    <w:rsid w:val="00521B00"/>
    <w:rsid w:val="005B7153"/>
    <w:rsid w:val="0064775F"/>
    <w:rsid w:val="00666AC8"/>
    <w:rsid w:val="006B1780"/>
    <w:rsid w:val="007943CF"/>
    <w:rsid w:val="007C60E5"/>
    <w:rsid w:val="00867812"/>
    <w:rsid w:val="00876F89"/>
    <w:rsid w:val="00A51180"/>
    <w:rsid w:val="00A745F1"/>
    <w:rsid w:val="00B309EF"/>
    <w:rsid w:val="00B47F3A"/>
    <w:rsid w:val="00BC6331"/>
    <w:rsid w:val="00CD495B"/>
    <w:rsid w:val="00EE3FD7"/>
    <w:rsid w:val="00F468DE"/>
    <w:rsid w:val="00FE0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FD2F7"/>
  <w15:chartTrackingRefBased/>
  <w15:docId w15:val="{67693E9B-1B95-4C5C-9DDD-8A76D1D26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5B71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1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1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2CD"/>
  </w:style>
  <w:style w:type="paragraph" w:styleId="Footer">
    <w:name w:val="footer"/>
    <w:basedOn w:val="Normal"/>
    <w:link w:val="FooterChar"/>
    <w:uiPriority w:val="99"/>
    <w:unhideWhenUsed/>
    <w:rsid w:val="00071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2CD"/>
  </w:style>
  <w:style w:type="character" w:styleId="Hyperlink">
    <w:name w:val="Hyperlink"/>
    <w:basedOn w:val="DefaultParagraphFont"/>
    <w:uiPriority w:val="99"/>
    <w:unhideWhenUsed/>
    <w:rsid w:val="005B7153"/>
    <w:rPr>
      <w:color w:val="0563C1" w:themeColor="hyperlink"/>
      <w:u w:val="single"/>
    </w:rPr>
  </w:style>
  <w:style w:type="character" w:styleId="UnresolvedMention">
    <w:name w:val="Unresolved Mention"/>
    <w:basedOn w:val="DefaultParagraphFont"/>
    <w:uiPriority w:val="99"/>
    <w:rsid w:val="005B7153"/>
    <w:rPr>
      <w:color w:val="605E5C"/>
      <w:shd w:val="clear" w:color="auto" w:fill="E1DFDD"/>
    </w:rPr>
  </w:style>
  <w:style w:type="character" w:customStyle="1" w:styleId="Heading4Char">
    <w:name w:val="Heading 4 Char"/>
    <w:basedOn w:val="DefaultParagraphFont"/>
    <w:link w:val="Heading4"/>
    <w:uiPriority w:val="9"/>
    <w:semiHidden/>
    <w:rsid w:val="005B7153"/>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3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tatisticalatlas.com/United-States/Race-and-Ethnicity"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americanprogress.org/issues/poverty/news/2010/10/27/8457/trouble-in-the-suburb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statisticalatlas.com/United-States/Overview" TargetMode="Externa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census.gov/quickfacts/fact/table/US/PST0452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5</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2021-03-11T13:08:00Z</dcterms:created>
  <dcterms:modified xsi:type="dcterms:W3CDTF">2021-03-11T17:01:00Z</dcterms:modified>
</cp:coreProperties>
</file>